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ascii="仿宋" w:hAnsi="仿宋" w:eastAsia="仿宋"/>
          <w:sz w:val="32"/>
          <w:szCs w:val="32"/>
        </w:rPr>
      </w:pPr>
      <w:bookmarkStart w:id="0" w:name="_GoBack"/>
      <w:bookmarkEnd w:id="0"/>
    </w:p>
    <w:p>
      <w:pPr>
        <w:pStyle w:val="2"/>
        <w:rPr>
          <w:rFonts w:hint="default"/>
        </w:rPr>
      </w:pPr>
    </w:p>
    <w:p>
      <w:pPr>
        <w:spacing w:line="520" w:lineRule="exact"/>
        <w:rPr>
          <w:rFonts w:ascii="仿宋" w:hAnsi="仿宋" w:eastAsia="仿宋"/>
          <w:sz w:val="32"/>
          <w:szCs w:val="32"/>
        </w:rPr>
      </w:pPr>
    </w:p>
    <w:p>
      <w:pPr>
        <w:spacing w:line="520" w:lineRule="exact"/>
        <w:rPr>
          <w:rFonts w:ascii="仿宋" w:hAnsi="仿宋" w:eastAsia="仿宋"/>
          <w:sz w:val="32"/>
          <w:szCs w:val="32"/>
        </w:rPr>
      </w:pPr>
    </w:p>
    <w:p>
      <w:pPr>
        <w:spacing w:line="520" w:lineRule="exact"/>
        <w:rPr>
          <w:rFonts w:ascii="仿宋" w:hAnsi="仿宋" w:eastAsia="仿宋"/>
          <w:sz w:val="32"/>
          <w:szCs w:val="32"/>
        </w:rPr>
      </w:pPr>
    </w:p>
    <w:p>
      <w:pPr>
        <w:shd w:val="clear" w:color="000000"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宋体" w:hAnsi="宋体" w:cs="宋体"/>
          <w:sz w:val="44"/>
          <w:szCs w:val="44"/>
        </w:rPr>
      </w:pPr>
      <w:r>
        <w:rPr>
          <w:rFonts w:ascii="宋体" w:hAnsi="宋体" w:cs="宋体"/>
          <w:sz w:val="44"/>
          <w:szCs w:val="44"/>
        </w:rPr>
        <w:t>20</w:t>
      </w:r>
      <w:r>
        <w:rPr>
          <w:rFonts w:hint="eastAsia" w:ascii="宋体" w:hAnsi="宋体" w:cs="宋体"/>
          <w:sz w:val="44"/>
          <w:szCs w:val="44"/>
        </w:rPr>
        <w:t>21</w:t>
      </w:r>
      <w:r>
        <w:rPr>
          <w:rFonts w:ascii="宋体" w:hAnsi="宋体" w:cs="宋体"/>
          <w:sz w:val="44"/>
          <w:szCs w:val="44"/>
        </w:rPr>
        <w:t>年</w:t>
      </w:r>
      <w:r>
        <w:rPr>
          <w:rFonts w:hint="eastAsia" w:ascii="宋体" w:hAnsi="宋体" w:cs="宋体"/>
          <w:sz w:val="44"/>
          <w:szCs w:val="44"/>
        </w:rPr>
        <w:t>度项目支出</w:t>
      </w:r>
      <w:r>
        <w:rPr>
          <w:rFonts w:ascii="宋体" w:hAnsi="宋体" w:cs="宋体"/>
          <w:sz w:val="44"/>
          <w:szCs w:val="44"/>
        </w:rPr>
        <w:t>绩效</w:t>
      </w:r>
      <w:r>
        <w:rPr>
          <w:rFonts w:hint="eastAsia" w:ascii="宋体" w:hAnsi="宋体" w:cs="宋体"/>
          <w:sz w:val="44"/>
          <w:szCs w:val="44"/>
        </w:rPr>
        <w:t>评价</w:t>
      </w:r>
      <w:r>
        <w:rPr>
          <w:rFonts w:ascii="宋体" w:hAnsi="宋体" w:cs="宋体"/>
          <w:sz w:val="44"/>
          <w:szCs w:val="44"/>
        </w:rPr>
        <w:t>报告</w:t>
      </w:r>
    </w:p>
    <w:p>
      <w:pPr>
        <w:spacing w:line="520" w:lineRule="exact"/>
        <w:rPr>
          <w:rFonts w:ascii="仿宋" w:hAnsi="仿宋" w:eastAsia="仿宋"/>
          <w:sz w:val="32"/>
          <w:szCs w:val="32"/>
        </w:rPr>
      </w:pPr>
    </w:p>
    <w:p>
      <w:pPr>
        <w:spacing w:line="520" w:lineRule="exact"/>
        <w:rPr>
          <w:rFonts w:ascii="仿宋" w:hAnsi="仿宋" w:eastAsia="仿宋"/>
          <w:sz w:val="32"/>
          <w:szCs w:val="32"/>
        </w:rPr>
      </w:pPr>
    </w:p>
    <w:p>
      <w:pPr>
        <w:spacing w:line="520" w:lineRule="exact"/>
        <w:rPr>
          <w:rFonts w:ascii="仿宋" w:hAnsi="仿宋" w:eastAsia="仿宋"/>
          <w:sz w:val="32"/>
          <w:szCs w:val="32"/>
        </w:rPr>
      </w:pPr>
    </w:p>
    <w:p>
      <w:pPr>
        <w:spacing w:line="520" w:lineRule="exact"/>
        <w:rPr>
          <w:rFonts w:ascii="仿宋" w:hAnsi="仿宋" w:eastAsia="仿宋"/>
          <w:sz w:val="32"/>
          <w:szCs w:val="32"/>
        </w:rPr>
      </w:pPr>
    </w:p>
    <w:p>
      <w:pPr>
        <w:spacing w:line="520" w:lineRule="exact"/>
        <w:rPr>
          <w:rFonts w:ascii="仿宋" w:hAnsi="仿宋" w:eastAsia="仿宋"/>
          <w:sz w:val="32"/>
          <w:szCs w:val="32"/>
        </w:rPr>
      </w:pPr>
    </w:p>
    <w:p>
      <w:pPr>
        <w:spacing w:line="520" w:lineRule="exact"/>
        <w:rPr>
          <w:rFonts w:ascii="仿宋" w:hAnsi="仿宋" w:eastAsia="仿宋"/>
          <w:sz w:val="32"/>
          <w:szCs w:val="32"/>
        </w:rPr>
      </w:pPr>
    </w:p>
    <w:p>
      <w:pPr>
        <w:spacing w:line="520" w:lineRule="exact"/>
        <w:ind w:firstLine="1760"/>
        <w:rPr>
          <w:rFonts w:ascii="仿宋" w:hAnsi="仿宋" w:eastAsia="仿宋"/>
          <w:sz w:val="32"/>
          <w:szCs w:val="32"/>
        </w:rPr>
      </w:pPr>
    </w:p>
    <w:p>
      <w:pPr>
        <w:spacing w:line="520" w:lineRule="exact"/>
        <w:ind w:firstLine="1760"/>
        <w:rPr>
          <w:rFonts w:ascii="仿宋" w:hAnsi="仿宋" w:eastAsia="仿宋"/>
          <w:sz w:val="32"/>
          <w:szCs w:val="32"/>
        </w:rPr>
      </w:pPr>
    </w:p>
    <w:p>
      <w:pPr>
        <w:spacing w:line="520" w:lineRule="exact"/>
        <w:ind w:firstLine="1760"/>
        <w:rPr>
          <w:rFonts w:ascii="仿宋" w:hAnsi="仿宋" w:eastAsia="仿宋"/>
          <w:sz w:val="32"/>
          <w:szCs w:val="32"/>
        </w:rPr>
      </w:pPr>
    </w:p>
    <w:p>
      <w:pPr>
        <w:spacing w:line="520" w:lineRule="exact"/>
        <w:ind w:firstLine="1760"/>
        <w:rPr>
          <w:rFonts w:ascii="仿宋" w:hAnsi="仿宋" w:eastAsia="仿宋"/>
          <w:sz w:val="32"/>
          <w:szCs w:val="32"/>
        </w:rPr>
      </w:pPr>
    </w:p>
    <w:p>
      <w:pPr>
        <w:spacing w:line="520" w:lineRule="exact"/>
        <w:ind w:firstLine="1760"/>
        <w:rPr>
          <w:rFonts w:ascii="仿宋" w:hAnsi="仿宋" w:eastAsia="仿宋"/>
          <w:sz w:val="32"/>
          <w:szCs w:val="32"/>
        </w:rPr>
      </w:pPr>
    </w:p>
    <w:p>
      <w:pPr>
        <w:spacing w:line="520" w:lineRule="exact"/>
        <w:ind w:firstLine="1760"/>
        <w:rPr>
          <w:rFonts w:ascii="仿宋" w:hAnsi="仿宋" w:eastAsia="仿宋"/>
          <w:sz w:val="32"/>
          <w:szCs w:val="32"/>
        </w:rPr>
      </w:pPr>
    </w:p>
    <w:p>
      <w:pPr>
        <w:spacing w:line="360" w:lineRule="auto"/>
        <w:ind w:firstLine="1760"/>
        <w:rPr>
          <w:rFonts w:ascii="仿宋_GB2312" w:eastAsia="仿宋_GB2312"/>
          <w:sz w:val="32"/>
          <w:szCs w:val="32"/>
        </w:rPr>
      </w:pPr>
      <w:r>
        <w:rPr>
          <w:rFonts w:hint="eastAsia" w:ascii="仿宋_GB2312" w:eastAsia="仿宋_GB2312"/>
          <w:sz w:val="32"/>
          <w:szCs w:val="32"/>
        </w:rPr>
        <w:t>项目名称：广东省促进就业创业发展专项资金</w:t>
      </w:r>
    </w:p>
    <w:p>
      <w:pPr>
        <w:spacing w:line="360" w:lineRule="auto"/>
        <w:ind w:firstLine="1760"/>
        <w:rPr>
          <w:rFonts w:ascii="仿宋_GB2312" w:eastAsia="仿宋_GB2312"/>
          <w:sz w:val="32"/>
          <w:szCs w:val="32"/>
        </w:rPr>
      </w:pPr>
      <w:r>
        <w:rPr>
          <w:rFonts w:hint="eastAsia" w:ascii="仿宋_GB2312" w:eastAsia="仿宋_GB2312"/>
          <w:sz w:val="32"/>
          <w:szCs w:val="32"/>
        </w:rPr>
        <w:t>主管部门（公章）：深圳技师学院</w:t>
      </w:r>
    </w:p>
    <w:p>
      <w:pPr>
        <w:spacing w:line="360" w:lineRule="auto"/>
        <w:ind w:firstLine="1760"/>
        <w:rPr>
          <w:rFonts w:ascii="仿宋_GB2312" w:eastAsia="仿宋_GB2312"/>
          <w:sz w:val="32"/>
          <w:szCs w:val="32"/>
        </w:rPr>
      </w:pPr>
      <w:r>
        <w:rPr>
          <w:rFonts w:hint="eastAsia" w:ascii="仿宋_GB2312" w:eastAsia="仿宋_GB2312"/>
          <w:sz w:val="32"/>
          <w:szCs w:val="32"/>
        </w:rPr>
        <w:t>填报人：许</w:t>
      </w:r>
      <w:r>
        <w:rPr>
          <w:rFonts w:ascii="仿宋_GB2312" w:eastAsia="仿宋_GB2312"/>
          <w:sz w:val="32"/>
          <w:szCs w:val="32"/>
        </w:rPr>
        <w:t>翔</w:t>
      </w:r>
      <w:r>
        <w:rPr>
          <w:rFonts w:hint="eastAsia" w:ascii="仿宋_GB2312" w:eastAsia="仿宋_GB2312"/>
          <w:sz w:val="32"/>
          <w:szCs w:val="32"/>
        </w:rPr>
        <w:t>翔</w:t>
      </w:r>
    </w:p>
    <w:p>
      <w:pPr>
        <w:spacing w:line="360" w:lineRule="auto"/>
        <w:ind w:firstLine="1760"/>
        <w:rPr>
          <w:rFonts w:ascii="仿宋_GB2312" w:eastAsia="仿宋_GB2312"/>
          <w:sz w:val="32"/>
          <w:szCs w:val="32"/>
        </w:rPr>
      </w:pPr>
      <w:r>
        <w:rPr>
          <w:rFonts w:hint="eastAsia" w:ascii="仿宋_GB2312" w:eastAsia="仿宋_GB2312"/>
          <w:sz w:val="32"/>
          <w:szCs w:val="32"/>
        </w:rPr>
        <w:t>联系电话：83753023</w:t>
      </w:r>
    </w:p>
    <w:p>
      <w:pPr>
        <w:spacing w:line="360" w:lineRule="auto"/>
        <w:ind w:firstLine="1760"/>
        <w:rPr>
          <w:rFonts w:ascii="仿宋" w:hAnsi="仿宋" w:eastAsia="仿宋"/>
          <w:sz w:val="32"/>
          <w:szCs w:val="32"/>
        </w:rPr>
        <w:sectPr>
          <w:footerReference r:id="rId3" w:type="default"/>
          <w:pgSz w:w="11906" w:h="16838"/>
          <w:pgMar w:top="1440" w:right="1800" w:bottom="1440" w:left="1800" w:header="851" w:footer="992" w:gutter="0"/>
          <w:pgNumType w:fmt="decimal" w:start="0"/>
          <w:docGrid w:type="lines" w:linePitch="312" w:charSpace="0"/>
        </w:sectPr>
      </w:pPr>
    </w:p>
    <w:p>
      <w:pPr>
        <w:snapToGrid w:val="0"/>
        <w:spacing w:line="560" w:lineRule="exact"/>
        <w:ind w:firstLine="640"/>
        <w:rPr>
          <w:rFonts w:ascii="黑体" w:hAnsi="黑体" w:eastAsia="黑体" w:cs="黑体"/>
          <w:b/>
          <w:sz w:val="32"/>
          <w:szCs w:val="32"/>
        </w:rPr>
      </w:pPr>
      <w:r>
        <w:rPr>
          <w:rFonts w:hint="eastAsia" w:ascii="黑体" w:hAnsi="黑体" w:eastAsia="黑体" w:cs="黑体"/>
          <w:sz w:val="32"/>
          <w:szCs w:val="32"/>
        </w:rPr>
        <w:t>一、基本情况</w:t>
      </w:r>
    </w:p>
    <w:p>
      <w:pPr>
        <w:snapToGrid w:val="0"/>
        <w:spacing w:line="560" w:lineRule="exact"/>
        <w:ind w:firstLine="643"/>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（一）项目概况。</w:t>
      </w:r>
    </w:p>
    <w:p>
      <w:pPr>
        <w:spacing w:line="560" w:lineRule="exact"/>
        <w:ind w:firstLine="640"/>
        <w:rPr>
          <w:rFonts w:ascii="仿宋_GB2312" w:eastAsia="仿宋_GB2312"/>
          <w:sz w:val="32"/>
          <w:szCs w:val="32"/>
        </w:rPr>
      </w:pPr>
      <w:r>
        <w:rPr>
          <w:rFonts w:hint="eastAsia" w:ascii="仿宋_GB2312" w:eastAsia="仿宋_GB2312"/>
          <w:sz w:val="32"/>
          <w:szCs w:val="32"/>
        </w:rPr>
        <w:t>1.项目背景。</w:t>
      </w:r>
    </w:p>
    <w:p>
      <w:pPr>
        <w:spacing w:line="560" w:lineRule="exact"/>
        <w:ind w:firstLine="640"/>
        <w:rPr>
          <w:rFonts w:hint="eastAsia" w:ascii="仿宋_GB2312" w:eastAsia="仿宋_GB2312" w:cs="宋体"/>
          <w:sz w:val="32"/>
          <w:szCs w:val="32"/>
        </w:rPr>
      </w:pPr>
      <w:r>
        <w:rPr>
          <w:rFonts w:hint="eastAsia" w:ascii="仿宋_GB2312" w:eastAsia="仿宋_GB2312" w:cs="宋体"/>
          <w:sz w:val="32"/>
          <w:szCs w:val="32"/>
        </w:rPr>
        <w:t>为认真贯彻党的十九大会议精神，落实《国家职业教育改革实施方案》，加快培养粤港澳大湾区和中国特色社会主义先行示范区建设急需的高素质技术技能人才，根据广东省创建高水平技师学院的重大战略部署，学院紧紧围绕创建高水平技师学院建设方案，牢记高水平技师学院建设宗旨，勇于担当先行示范技师学院的历史重任，提升</w:t>
      </w:r>
      <w:r>
        <w:rPr>
          <w:rFonts w:ascii="仿宋_GB2312" w:eastAsia="仿宋_GB2312" w:cs="宋体"/>
          <w:sz w:val="32"/>
          <w:szCs w:val="32"/>
        </w:rPr>
        <w:t>高水平</w:t>
      </w:r>
      <w:r>
        <w:rPr>
          <w:rFonts w:hint="eastAsia" w:ascii="仿宋_GB2312" w:eastAsia="仿宋_GB2312" w:cs="宋体"/>
          <w:sz w:val="32"/>
          <w:szCs w:val="32"/>
        </w:rPr>
        <w:t xml:space="preserve">技师学院专业建设和实施强师工程，有力推进纳入高等学校序列工作步伐。 </w:t>
      </w:r>
    </w:p>
    <w:p>
      <w:pPr>
        <w:spacing w:line="560" w:lineRule="exact"/>
        <w:ind w:firstLine="640"/>
        <w:rPr>
          <w:rFonts w:ascii="仿宋_GB2312" w:eastAsia="仿宋_GB2312"/>
          <w:sz w:val="32"/>
          <w:szCs w:val="32"/>
        </w:rPr>
      </w:pPr>
      <w:r>
        <w:rPr>
          <w:rFonts w:hint="eastAsia" w:ascii="仿宋_GB2312" w:eastAsia="仿宋_GB2312"/>
          <w:sz w:val="32"/>
          <w:szCs w:val="32"/>
        </w:rPr>
        <w:t>2.项目主要内容及实施情况。</w:t>
      </w:r>
    </w:p>
    <w:p>
      <w:pPr>
        <w:spacing w:line="560" w:lineRule="exact"/>
        <w:ind w:firstLine="640"/>
        <w:rPr>
          <w:rFonts w:hint="eastAsia" w:ascii="仿宋_GB2312" w:eastAsia="仿宋_GB2312" w:cs="宋体"/>
          <w:sz w:val="32"/>
          <w:szCs w:val="32"/>
        </w:rPr>
      </w:pPr>
      <w:r>
        <w:rPr>
          <w:rFonts w:hint="eastAsia" w:ascii="仿宋_GB2312" w:eastAsia="仿宋_GB2312" w:cs="宋体"/>
          <w:sz w:val="32"/>
          <w:szCs w:val="32"/>
        </w:rPr>
        <w:t>（1）</w:t>
      </w:r>
      <w:r>
        <w:rPr>
          <w:rFonts w:hint="eastAsia" w:ascii="仿宋_GB2312" w:eastAsia="仿宋_GB2312"/>
          <w:sz w:val="32"/>
          <w:szCs w:val="32"/>
        </w:rPr>
        <w:t>项目主要内容</w:t>
      </w:r>
    </w:p>
    <w:p>
      <w:pPr>
        <w:spacing w:line="560" w:lineRule="exact"/>
        <w:ind w:firstLine="640"/>
        <w:rPr>
          <w:rFonts w:hint="eastAsia" w:ascii="仿宋_GB2312" w:eastAsia="仿宋_GB2312" w:cs="宋体"/>
          <w:sz w:val="32"/>
          <w:szCs w:val="32"/>
        </w:rPr>
      </w:pPr>
      <w:r>
        <w:rPr>
          <w:rFonts w:ascii="仿宋_GB2312" w:eastAsia="仿宋_GB2312" w:cs="宋体"/>
          <w:sz w:val="32"/>
          <w:szCs w:val="32"/>
        </w:rPr>
        <w:t>高水平</w:t>
      </w:r>
      <w:r>
        <w:rPr>
          <w:rFonts w:hint="eastAsia" w:ascii="仿宋_GB2312" w:eastAsia="仿宋_GB2312" w:cs="宋体"/>
          <w:sz w:val="32"/>
          <w:szCs w:val="32"/>
        </w:rPr>
        <w:t>技师学院专业建设，主要用于信息与通讯学院人工智能教学实训平台建设，中德智造学院制造-工业控制实训设备建设，设计学院国家级技能大师工作室建设，商贸学院智慧物流实训中心建设，景观与生态学院植物栽培实验场建设，学院师资培训队伍建设，图书馆文化建设。</w:t>
      </w:r>
    </w:p>
    <w:p>
      <w:pPr>
        <w:spacing w:line="560" w:lineRule="exact"/>
        <w:ind w:firstLine="640"/>
        <w:rPr>
          <w:rFonts w:hint="eastAsia" w:ascii="仿宋_GB2312" w:eastAsia="仿宋_GB2312" w:cs="宋体"/>
          <w:sz w:val="32"/>
          <w:szCs w:val="32"/>
        </w:rPr>
      </w:pPr>
      <w:r>
        <w:rPr>
          <w:rFonts w:hint="eastAsia" w:ascii="仿宋_GB2312" w:eastAsia="仿宋_GB2312" w:cs="宋体"/>
          <w:sz w:val="32"/>
          <w:szCs w:val="32"/>
        </w:rPr>
        <w:t>强师工程，主要用于开展9个培训专题，10个教学培训班次，共培训285人次的工作任务。</w:t>
      </w:r>
    </w:p>
    <w:p>
      <w:pPr>
        <w:spacing w:line="560" w:lineRule="exact"/>
        <w:ind w:firstLine="640"/>
        <w:rPr>
          <w:rFonts w:hint="eastAsia" w:ascii="仿宋_GB2312" w:eastAsia="仿宋_GB2312"/>
          <w:sz w:val="32"/>
          <w:szCs w:val="32"/>
        </w:rPr>
      </w:pPr>
      <w:r>
        <w:rPr>
          <w:rFonts w:hint="eastAsia" w:ascii="仿宋_GB2312" w:eastAsia="仿宋_GB2312" w:cs="宋体"/>
          <w:sz w:val="32"/>
          <w:szCs w:val="32"/>
        </w:rPr>
        <w:t>（2）</w:t>
      </w:r>
      <w:r>
        <w:rPr>
          <w:rFonts w:hint="eastAsia" w:ascii="仿宋_GB2312" w:eastAsia="仿宋_GB2312"/>
          <w:sz w:val="32"/>
          <w:szCs w:val="32"/>
        </w:rPr>
        <w:t>项目实施情况</w:t>
      </w:r>
    </w:p>
    <w:p>
      <w:pPr>
        <w:spacing w:line="560" w:lineRule="exact"/>
        <w:ind w:firstLine="640"/>
        <w:rPr>
          <w:rFonts w:hint="eastAsia" w:ascii="仿宋_GB2312" w:eastAsia="仿宋_GB2312" w:cs="宋体"/>
          <w:sz w:val="32"/>
          <w:szCs w:val="32"/>
        </w:rPr>
      </w:pPr>
      <w:r>
        <w:rPr>
          <w:rFonts w:hint="eastAsia" w:ascii="仿宋_GB2312" w:eastAsia="仿宋_GB2312" w:cs="宋体"/>
          <w:sz w:val="32"/>
          <w:szCs w:val="32"/>
        </w:rPr>
        <w:t>学院成立了高水平技师学院建设工作领导小组及项目管理办公室，加强对项目建设的组织领导，建立完善建设项目实施、专项资金、招标采购等管理制度，实行“整体规划、统筹管理、分级实施、责任到人、定期检查、全程监控、奖优罚劣”的工作机制。</w:t>
      </w:r>
    </w:p>
    <w:p>
      <w:pPr>
        <w:spacing w:line="560" w:lineRule="exact"/>
        <w:ind w:firstLine="640"/>
        <w:rPr>
          <w:rFonts w:ascii="仿宋_GB2312" w:eastAsia="仿宋_GB2312" w:cs="宋体"/>
          <w:sz w:val="32"/>
          <w:szCs w:val="32"/>
        </w:rPr>
      </w:pPr>
      <w:r>
        <w:rPr>
          <w:rFonts w:hint="eastAsia" w:ascii="仿宋_GB2312" w:eastAsia="仿宋_GB2312" w:cs="宋体"/>
          <w:sz w:val="32"/>
          <w:szCs w:val="32"/>
        </w:rPr>
        <w:t>领导小组定期召开专题会议，听取项目建设情况汇报，组织学校各职能部门参会，协调解决资金、人员、场地等方面存在的问题。学院严格落实各项财务管理制度，强化监督机制，定期对项目资金使用情况进行内部审计和绩效评估，确保项目建设和资金使用过程阳光透明、公开公正、合法合规，项目建设按期顺利完成。</w:t>
      </w:r>
    </w:p>
    <w:p>
      <w:pPr>
        <w:spacing w:line="560" w:lineRule="exact"/>
        <w:ind w:firstLine="640"/>
        <w:rPr>
          <w:rFonts w:ascii="仿宋_GB2312" w:eastAsia="仿宋_GB2312" w:cs="宋体"/>
          <w:sz w:val="32"/>
          <w:szCs w:val="32"/>
        </w:rPr>
      </w:pPr>
      <w:r>
        <w:rPr>
          <w:rFonts w:hint="eastAsia" w:ascii="仿宋_GB2312" w:eastAsia="仿宋_GB2312" w:cs="宋体"/>
          <w:sz w:val="32"/>
          <w:szCs w:val="32"/>
        </w:rPr>
        <w:t>3.资金投入和使用情况。</w:t>
      </w:r>
    </w:p>
    <w:p>
      <w:pPr>
        <w:spacing w:line="560" w:lineRule="exact"/>
        <w:ind w:firstLine="640"/>
        <w:rPr>
          <w:rFonts w:hint="eastAsia" w:ascii="仿宋_GB2312" w:eastAsia="仿宋_GB2312" w:cs="宋体"/>
          <w:sz w:val="32"/>
          <w:szCs w:val="32"/>
        </w:rPr>
      </w:pPr>
      <w:r>
        <w:rPr>
          <w:rFonts w:hint="eastAsia" w:ascii="仿宋_GB2312" w:eastAsia="仿宋_GB2312" w:cs="宋体"/>
          <w:sz w:val="32"/>
          <w:szCs w:val="32"/>
        </w:rPr>
        <w:t>（1）资金投入情况</w:t>
      </w:r>
    </w:p>
    <w:p>
      <w:pPr>
        <w:spacing w:line="560" w:lineRule="exact"/>
        <w:ind w:firstLine="640"/>
        <w:rPr>
          <w:rFonts w:hint="eastAsia" w:ascii="仿宋_GB2312" w:eastAsia="仿宋_GB2312" w:cs="宋体"/>
          <w:sz w:val="32"/>
          <w:szCs w:val="32"/>
        </w:rPr>
      </w:pPr>
      <w:r>
        <w:rPr>
          <w:rFonts w:hint="eastAsia" w:ascii="仿宋_GB2312" w:eastAsia="仿宋_GB2312" w:cs="宋体"/>
          <w:sz w:val="32"/>
          <w:szCs w:val="32"/>
        </w:rPr>
        <w:t>项目预算资金1150万元，实际到位资金1150万元，到位率100%。</w:t>
      </w:r>
    </w:p>
    <w:p>
      <w:pPr>
        <w:spacing w:line="560" w:lineRule="exact"/>
        <w:ind w:firstLine="640"/>
        <w:rPr>
          <w:rFonts w:hint="eastAsia" w:ascii="仿宋_GB2312" w:eastAsia="仿宋_GB2312" w:cs="宋体"/>
          <w:sz w:val="32"/>
          <w:szCs w:val="32"/>
        </w:rPr>
      </w:pPr>
      <w:r>
        <w:rPr>
          <w:rFonts w:ascii="仿宋_GB2312" w:eastAsia="仿宋_GB2312" w:cs="宋体"/>
          <w:sz w:val="32"/>
          <w:szCs w:val="32"/>
        </w:rPr>
        <w:t>高水平</w:t>
      </w:r>
      <w:r>
        <w:rPr>
          <w:rFonts w:hint="eastAsia" w:ascii="仿宋_GB2312" w:eastAsia="仿宋_GB2312" w:cs="宋体"/>
          <w:sz w:val="32"/>
          <w:szCs w:val="32"/>
        </w:rPr>
        <w:t>技师学院专业建设预算资金1000万元，其中信息与通讯学院人工智能教学实训平台建设373.17万元，中德智造学院制造-工业控制实训设备建设</w:t>
      </w:r>
      <w:r>
        <w:rPr>
          <w:rFonts w:ascii="仿宋_GB2312" w:eastAsia="仿宋_GB2312" w:cs="宋体"/>
          <w:sz w:val="32"/>
          <w:szCs w:val="32"/>
        </w:rPr>
        <w:t>160万元</w:t>
      </w:r>
      <w:r>
        <w:rPr>
          <w:rFonts w:hint="eastAsia" w:ascii="仿宋_GB2312" w:eastAsia="仿宋_GB2312" w:cs="宋体"/>
          <w:sz w:val="32"/>
          <w:szCs w:val="32"/>
        </w:rPr>
        <w:t>，设计学院国家级技能大师工作室建设</w:t>
      </w:r>
      <w:r>
        <w:rPr>
          <w:rFonts w:ascii="仿宋_GB2312" w:eastAsia="仿宋_GB2312" w:cs="宋体"/>
          <w:sz w:val="32"/>
          <w:szCs w:val="32"/>
        </w:rPr>
        <w:t>141.76万元</w:t>
      </w:r>
      <w:r>
        <w:rPr>
          <w:rFonts w:hint="eastAsia" w:ascii="仿宋_GB2312" w:eastAsia="仿宋_GB2312" w:cs="宋体"/>
          <w:sz w:val="32"/>
          <w:szCs w:val="32"/>
        </w:rPr>
        <w:t>，商贸学院智慧物流实训中心建设</w:t>
      </w:r>
      <w:r>
        <w:rPr>
          <w:rFonts w:ascii="仿宋_GB2312" w:eastAsia="仿宋_GB2312" w:cs="宋体"/>
          <w:sz w:val="32"/>
          <w:szCs w:val="32"/>
        </w:rPr>
        <w:t>150万元</w:t>
      </w:r>
      <w:r>
        <w:rPr>
          <w:rFonts w:hint="eastAsia" w:ascii="仿宋_GB2312" w:eastAsia="仿宋_GB2312" w:cs="宋体"/>
          <w:sz w:val="32"/>
          <w:szCs w:val="32"/>
        </w:rPr>
        <w:t>，景观与生态学院植物栽培实验场建设</w:t>
      </w:r>
      <w:r>
        <w:rPr>
          <w:rFonts w:ascii="仿宋_GB2312" w:eastAsia="仿宋_GB2312" w:cs="宋体"/>
          <w:sz w:val="32"/>
          <w:szCs w:val="32"/>
        </w:rPr>
        <w:t>44.81万元</w:t>
      </w:r>
      <w:r>
        <w:rPr>
          <w:rFonts w:hint="eastAsia" w:ascii="仿宋_GB2312" w:eastAsia="仿宋_GB2312" w:cs="宋体"/>
          <w:sz w:val="32"/>
          <w:szCs w:val="32"/>
        </w:rPr>
        <w:t>，学院师资培训队伍建设</w:t>
      </w:r>
      <w:r>
        <w:rPr>
          <w:rFonts w:ascii="仿宋_GB2312" w:eastAsia="仿宋_GB2312" w:cs="宋体"/>
          <w:sz w:val="32"/>
          <w:szCs w:val="32"/>
        </w:rPr>
        <w:t>100万元</w:t>
      </w:r>
      <w:r>
        <w:rPr>
          <w:rFonts w:hint="eastAsia" w:ascii="仿宋_GB2312" w:eastAsia="仿宋_GB2312" w:cs="宋体"/>
          <w:sz w:val="32"/>
          <w:szCs w:val="32"/>
        </w:rPr>
        <w:t>，图书馆文化建设</w:t>
      </w:r>
      <w:r>
        <w:rPr>
          <w:rFonts w:ascii="仿宋_GB2312" w:eastAsia="仿宋_GB2312" w:cs="宋体"/>
          <w:sz w:val="32"/>
          <w:szCs w:val="32"/>
        </w:rPr>
        <w:t>30.26万</w:t>
      </w:r>
      <w:r>
        <w:rPr>
          <w:rFonts w:hint="eastAsia" w:ascii="仿宋_GB2312" w:eastAsia="仿宋_GB2312" w:cs="宋体"/>
          <w:sz w:val="32"/>
          <w:szCs w:val="32"/>
        </w:rPr>
        <w:t>。</w:t>
      </w:r>
    </w:p>
    <w:p>
      <w:pPr>
        <w:spacing w:line="560" w:lineRule="exact"/>
        <w:ind w:firstLine="640"/>
        <w:rPr>
          <w:rFonts w:ascii="仿宋_GB2312" w:eastAsia="仿宋_GB2312" w:cs="宋体"/>
          <w:sz w:val="32"/>
          <w:szCs w:val="32"/>
        </w:rPr>
      </w:pPr>
      <w:r>
        <w:rPr>
          <w:rFonts w:hint="eastAsia" w:ascii="仿宋_GB2312" w:eastAsia="仿宋_GB2312" w:cs="宋体"/>
          <w:sz w:val="32"/>
          <w:szCs w:val="32"/>
        </w:rPr>
        <w:t>强师工程预算资金150万元。</w:t>
      </w:r>
    </w:p>
    <w:p>
      <w:pPr>
        <w:spacing w:line="560" w:lineRule="exact"/>
        <w:ind w:firstLine="640"/>
        <w:rPr>
          <w:rFonts w:hint="eastAsia" w:ascii="仿宋_GB2312" w:eastAsia="仿宋_GB2312" w:cs="宋体"/>
          <w:sz w:val="32"/>
          <w:szCs w:val="32"/>
        </w:rPr>
      </w:pPr>
      <w:r>
        <w:rPr>
          <w:rFonts w:hint="eastAsia" w:ascii="仿宋_GB2312" w:eastAsia="仿宋_GB2312" w:cs="宋体"/>
          <w:sz w:val="32"/>
          <w:szCs w:val="32"/>
        </w:rPr>
        <w:t>（2）资金使用情况</w:t>
      </w:r>
    </w:p>
    <w:p>
      <w:pPr>
        <w:spacing w:line="560" w:lineRule="exact"/>
        <w:ind w:firstLine="640"/>
        <w:rPr>
          <w:rFonts w:hint="eastAsia" w:ascii="仿宋_GB2312" w:eastAsia="仿宋_GB2312" w:cs="宋体"/>
          <w:sz w:val="32"/>
          <w:szCs w:val="32"/>
        </w:rPr>
      </w:pPr>
      <w:r>
        <w:rPr>
          <w:rFonts w:hint="eastAsia" w:ascii="仿宋_GB2312" w:eastAsia="仿宋_GB2312" w:cs="宋体"/>
          <w:sz w:val="32"/>
          <w:szCs w:val="32"/>
        </w:rPr>
        <w:t>项目实际到位资金1150万元，实际完成支出1136.92万元，完成支出率</w:t>
      </w:r>
      <w:r>
        <w:rPr>
          <w:rFonts w:ascii="仿宋_GB2312" w:eastAsia="仿宋_GB2312" w:cs="宋体"/>
          <w:sz w:val="32"/>
          <w:szCs w:val="32"/>
        </w:rPr>
        <w:t>98.86%</w:t>
      </w:r>
      <w:r>
        <w:rPr>
          <w:rFonts w:hint="eastAsia" w:ascii="仿宋_GB2312" w:eastAsia="仿宋_GB2312" w:cs="宋体"/>
          <w:sz w:val="32"/>
          <w:szCs w:val="32"/>
        </w:rPr>
        <w:t>。</w:t>
      </w:r>
    </w:p>
    <w:p>
      <w:pPr>
        <w:spacing w:line="560" w:lineRule="exact"/>
        <w:ind w:firstLine="640"/>
        <w:rPr>
          <w:rFonts w:hint="eastAsia" w:ascii="仿宋_GB2312" w:eastAsia="仿宋_GB2312" w:cs="宋体"/>
          <w:sz w:val="32"/>
          <w:szCs w:val="32"/>
        </w:rPr>
      </w:pPr>
      <w:r>
        <w:rPr>
          <w:rFonts w:ascii="仿宋_GB2312" w:eastAsia="仿宋_GB2312" w:cs="宋体"/>
          <w:sz w:val="32"/>
          <w:szCs w:val="32"/>
        </w:rPr>
        <w:t>高水平</w:t>
      </w:r>
      <w:r>
        <w:rPr>
          <w:rFonts w:hint="eastAsia" w:ascii="仿宋_GB2312" w:eastAsia="仿宋_GB2312" w:cs="宋体"/>
          <w:sz w:val="32"/>
          <w:szCs w:val="32"/>
        </w:rPr>
        <w:t>技师学院专业建设支出991.08万元，其中信息与通讯学院人工智能教学实训平台建设</w:t>
      </w:r>
      <w:r>
        <w:rPr>
          <w:rFonts w:ascii="仿宋_GB2312" w:eastAsia="仿宋_GB2312" w:cs="宋体"/>
          <w:sz w:val="32"/>
          <w:szCs w:val="32"/>
        </w:rPr>
        <w:t>372.32万元</w:t>
      </w:r>
      <w:r>
        <w:rPr>
          <w:rFonts w:hint="eastAsia" w:ascii="仿宋_GB2312" w:eastAsia="仿宋_GB2312" w:cs="宋体"/>
          <w:sz w:val="32"/>
          <w:szCs w:val="32"/>
        </w:rPr>
        <w:t>，中德智造学院制造-工业控制实训设备建设</w:t>
      </w:r>
      <w:r>
        <w:rPr>
          <w:rFonts w:ascii="仿宋_GB2312" w:eastAsia="仿宋_GB2312" w:cs="宋体"/>
          <w:sz w:val="32"/>
          <w:szCs w:val="32"/>
        </w:rPr>
        <w:t>159.99万元</w:t>
      </w:r>
      <w:r>
        <w:rPr>
          <w:rFonts w:hint="eastAsia" w:ascii="仿宋_GB2312" w:eastAsia="仿宋_GB2312" w:cs="宋体"/>
          <w:sz w:val="32"/>
          <w:szCs w:val="32"/>
        </w:rPr>
        <w:t>，设计学院国家级技能大师工作室建设</w:t>
      </w:r>
      <w:r>
        <w:rPr>
          <w:rFonts w:ascii="仿宋_GB2312" w:eastAsia="仿宋_GB2312" w:cs="宋体"/>
          <w:sz w:val="32"/>
          <w:szCs w:val="32"/>
        </w:rPr>
        <w:t>139.61万元</w:t>
      </w:r>
      <w:r>
        <w:rPr>
          <w:rFonts w:hint="eastAsia" w:ascii="仿宋_GB2312" w:eastAsia="仿宋_GB2312" w:cs="宋体"/>
          <w:sz w:val="32"/>
          <w:szCs w:val="32"/>
        </w:rPr>
        <w:t>，商贸学院智慧物流实训中心建设</w:t>
      </w:r>
      <w:r>
        <w:rPr>
          <w:rFonts w:ascii="仿宋_GB2312" w:eastAsia="仿宋_GB2312" w:cs="宋体"/>
          <w:sz w:val="32"/>
          <w:szCs w:val="32"/>
        </w:rPr>
        <w:t>149.30万元</w:t>
      </w:r>
      <w:r>
        <w:rPr>
          <w:rFonts w:hint="eastAsia" w:ascii="仿宋_GB2312" w:eastAsia="仿宋_GB2312" w:cs="宋体"/>
          <w:sz w:val="32"/>
          <w:szCs w:val="32"/>
        </w:rPr>
        <w:t>，景观与生态学院植物栽培实验场建设</w:t>
      </w:r>
      <w:r>
        <w:rPr>
          <w:rFonts w:ascii="仿宋_GB2312" w:eastAsia="仿宋_GB2312" w:cs="宋体"/>
          <w:sz w:val="32"/>
          <w:szCs w:val="32"/>
        </w:rPr>
        <w:t>44.71万元</w:t>
      </w:r>
      <w:r>
        <w:rPr>
          <w:rFonts w:hint="eastAsia" w:ascii="仿宋_GB2312" w:eastAsia="仿宋_GB2312" w:cs="宋体"/>
          <w:sz w:val="32"/>
          <w:szCs w:val="32"/>
        </w:rPr>
        <w:t>，学院师资培训队伍建设</w:t>
      </w:r>
      <w:r>
        <w:rPr>
          <w:rFonts w:ascii="仿宋_GB2312" w:eastAsia="仿宋_GB2312" w:cs="宋体"/>
          <w:sz w:val="32"/>
          <w:szCs w:val="32"/>
        </w:rPr>
        <w:t>94.89万元</w:t>
      </w:r>
      <w:r>
        <w:rPr>
          <w:rFonts w:hint="eastAsia" w:ascii="仿宋_GB2312" w:eastAsia="仿宋_GB2312" w:cs="宋体"/>
          <w:sz w:val="32"/>
          <w:szCs w:val="32"/>
        </w:rPr>
        <w:t>，图书馆文化建设</w:t>
      </w:r>
      <w:r>
        <w:rPr>
          <w:rFonts w:ascii="仿宋_GB2312" w:eastAsia="仿宋_GB2312" w:cs="宋体"/>
          <w:sz w:val="32"/>
          <w:szCs w:val="32"/>
        </w:rPr>
        <w:t>30.26</w:t>
      </w:r>
      <w:r>
        <w:rPr>
          <w:rFonts w:hint="eastAsia" w:ascii="仿宋_GB2312" w:eastAsia="仿宋_GB2312" w:cs="宋体"/>
          <w:sz w:val="32"/>
          <w:szCs w:val="32"/>
        </w:rPr>
        <w:t>万元。</w:t>
      </w:r>
    </w:p>
    <w:p>
      <w:pPr>
        <w:spacing w:line="560" w:lineRule="exact"/>
        <w:ind w:firstLine="640"/>
        <w:rPr>
          <w:rFonts w:ascii="仿宋_GB2312" w:eastAsia="仿宋_GB2312" w:cs="宋体"/>
          <w:sz w:val="32"/>
          <w:szCs w:val="32"/>
        </w:rPr>
      </w:pPr>
      <w:r>
        <w:rPr>
          <w:rFonts w:hint="eastAsia" w:ascii="仿宋_GB2312" w:eastAsia="仿宋_GB2312" w:cs="宋体"/>
          <w:sz w:val="32"/>
          <w:szCs w:val="32"/>
        </w:rPr>
        <w:t>强师工程</w:t>
      </w:r>
      <w:r>
        <w:rPr>
          <w:rFonts w:ascii="仿宋_GB2312" w:eastAsia="仿宋_GB2312" w:cs="宋体"/>
          <w:sz w:val="32"/>
          <w:szCs w:val="32"/>
        </w:rPr>
        <w:t>培训支出金额145.84万元</w:t>
      </w:r>
      <w:r>
        <w:rPr>
          <w:rFonts w:hint="eastAsia" w:ascii="仿宋_GB2312" w:eastAsia="仿宋_GB2312" w:cs="宋体"/>
          <w:sz w:val="32"/>
          <w:szCs w:val="32"/>
        </w:rPr>
        <w:t>。</w:t>
      </w:r>
    </w:p>
    <w:p>
      <w:pPr>
        <w:snapToGrid w:val="0"/>
        <w:spacing w:line="560" w:lineRule="exact"/>
        <w:ind w:firstLine="643"/>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（二）项目绩效目标。</w:t>
      </w:r>
    </w:p>
    <w:p>
      <w:pPr>
        <w:spacing w:line="560" w:lineRule="exact"/>
        <w:ind w:firstLine="640"/>
        <w:rPr>
          <w:rFonts w:ascii="仿宋_GB2312" w:eastAsia="仿宋_GB2312"/>
          <w:sz w:val="32"/>
          <w:szCs w:val="32"/>
        </w:rPr>
      </w:pPr>
      <w:r>
        <w:rPr>
          <w:rFonts w:hint="eastAsia" w:ascii="仿宋_GB2312" w:eastAsia="仿宋_GB2312"/>
          <w:sz w:val="32"/>
          <w:szCs w:val="32"/>
        </w:rPr>
        <w:t>1.总体目标。</w:t>
      </w:r>
    </w:p>
    <w:p>
      <w:pPr>
        <w:spacing w:line="560" w:lineRule="exact"/>
        <w:ind w:firstLine="640"/>
        <w:rPr>
          <w:rFonts w:ascii="仿宋_GB2312" w:eastAsia="仿宋_GB2312"/>
          <w:sz w:val="32"/>
          <w:szCs w:val="32"/>
        </w:rPr>
      </w:pPr>
      <w:r>
        <w:rPr>
          <w:rFonts w:hint="eastAsia" w:ascii="仿宋_GB2312" w:eastAsia="仿宋_GB2312"/>
          <w:sz w:val="32"/>
          <w:szCs w:val="32"/>
        </w:rPr>
        <w:t>通过项目实施，推进学院建设成为高水平技师学院，不断优化技工教育结构，促进技工教育持续健康发展，满足经济社会转型升级对技能人才的需求。通过开展培训，提高参训教师教育教学水平，促进师资队伍建设。</w:t>
      </w:r>
    </w:p>
    <w:p>
      <w:pPr>
        <w:spacing w:line="560" w:lineRule="exact"/>
        <w:ind w:firstLine="640"/>
      </w:pPr>
      <w:r>
        <w:rPr>
          <w:rFonts w:hint="eastAsia" w:ascii="仿宋_GB2312" w:eastAsia="仿宋_GB2312"/>
          <w:sz w:val="32"/>
          <w:szCs w:val="32"/>
        </w:rPr>
        <w:t>2.阶段性目标。</w:t>
      </w:r>
    </w:p>
    <w:p>
      <w:pPr>
        <w:spacing w:line="560" w:lineRule="exact"/>
        <w:ind w:firstLine="640"/>
        <w:rPr>
          <w:rFonts w:ascii="仿宋_GB2312" w:eastAsia="仿宋_GB2312"/>
          <w:sz w:val="32"/>
          <w:szCs w:val="32"/>
        </w:rPr>
      </w:pPr>
      <w:r>
        <w:rPr>
          <w:rFonts w:hint="eastAsia" w:ascii="仿宋_GB2312" w:eastAsia="仿宋_GB2312" w:cs="宋体"/>
          <w:sz w:val="32"/>
          <w:szCs w:val="32"/>
        </w:rPr>
        <w:t>提高学院专业建设水平</w:t>
      </w:r>
      <w:r>
        <w:rPr>
          <w:rFonts w:hint="eastAsia" w:ascii="仿宋_GB2312" w:eastAsia="仿宋_GB2312"/>
          <w:sz w:val="32"/>
          <w:szCs w:val="32"/>
        </w:rPr>
        <w:t>，促进师资队伍建设。</w:t>
      </w:r>
    </w:p>
    <w:p>
      <w:pPr>
        <w:snapToGrid w:val="0"/>
        <w:spacing w:line="560" w:lineRule="exact"/>
        <w:ind w:firstLine="640"/>
        <w:rPr>
          <w:rFonts w:ascii="黑体" w:hAnsi="黑体" w:eastAsia="黑体" w:cs="黑体"/>
          <w:sz w:val="32"/>
          <w:szCs w:val="32"/>
        </w:rPr>
      </w:pPr>
      <w:r>
        <w:rPr>
          <w:rFonts w:hint="eastAsia" w:ascii="黑体" w:hAnsi="黑体" w:eastAsia="黑体" w:cs="黑体"/>
          <w:sz w:val="32"/>
          <w:szCs w:val="32"/>
        </w:rPr>
        <w:t>二、绩效评价工作开展情况</w:t>
      </w:r>
    </w:p>
    <w:p>
      <w:pPr>
        <w:snapToGrid w:val="0"/>
        <w:spacing w:line="560" w:lineRule="exact"/>
        <w:ind w:firstLine="643"/>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（一）绩效评价基本情况。</w:t>
      </w:r>
    </w:p>
    <w:p>
      <w:pPr>
        <w:spacing w:line="560" w:lineRule="exact"/>
        <w:ind w:firstLine="640"/>
        <w:rPr>
          <w:rFonts w:ascii="仿宋_GB2312" w:eastAsia="仿宋_GB2312"/>
          <w:sz w:val="32"/>
          <w:szCs w:val="32"/>
        </w:rPr>
      </w:pPr>
      <w:r>
        <w:rPr>
          <w:rFonts w:hint="eastAsia" w:ascii="仿宋_GB2312" w:eastAsia="仿宋_GB2312"/>
          <w:sz w:val="32"/>
          <w:szCs w:val="32"/>
        </w:rPr>
        <w:t>1.绩效评价目的。</w:t>
      </w:r>
    </w:p>
    <w:p>
      <w:pPr>
        <w:spacing w:line="560" w:lineRule="exact"/>
        <w:ind w:firstLine="640"/>
        <w:rPr>
          <w:rFonts w:ascii="仿宋_GB2312" w:eastAsia="仿宋_GB2312"/>
          <w:sz w:val="32"/>
          <w:szCs w:val="32"/>
        </w:rPr>
      </w:pPr>
      <w:r>
        <w:rPr>
          <w:rFonts w:hint="eastAsia" w:ascii="仿宋_GB2312" w:eastAsia="仿宋_GB2312"/>
          <w:sz w:val="32"/>
          <w:szCs w:val="32"/>
        </w:rPr>
        <w:t>通过本次绩效评价，进一步了解项目的实施进展、资金使用、社会效益情况以及社会公众或服务对象满意度，通过以项目为对象的绩效评价，达到对项目实施部门绩效评价，以促进各部门项目的管理，提高财政资金的使用效益。通过对项目的投入、过程、产出和效果四个方面进行客观、公正的评价，总结项目实施过程中的经验，发现存在问题，提出改进该项目立项投入、组织实施、运行管理的具体建议，促进加强项目管理，提高财政资金的使用效益，为下一步预算资金安排提供重要依据。</w:t>
      </w:r>
    </w:p>
    <w:p>
      <w:pPr>
        <w:spacing w:line="560" w:lineRule="exact"/>
        <w:ind w:firstLine="640"/>
        <w:rPr>
          <w:rFonts w:ascii="仿宋_GB2312" w:eastAsia="仿宋_GB2312"/>
          <w:sz w:val="32"/>
          <w:szCs w:val="32"/>
        </w:rPr>
      </w:pPr>
      <w:r>
        <w:rPr>
          <w:rFonts w:hint="eastAsia" w:ascii="仿宋_GB2312" w:eastAsia="仿宋_GB2312"/>
          <w:sz w:val="32"/>
          <w:szCs w:val="32"/>
        </w:rPr>
        <w:t>2.绩效评价对象。</w:t>
      </w:r>
    </w:p>
    <w:p>
      <w:pPr>
        <w:spacing w:line="560" w:lineRule="exact"/>
        <w:ind w:firstLine="640"/>
        <w:rPr>
          <w:rFonts w:ascii="仿宋_GB2312" w:eastAsia="仿宋_GB2312"/>
          <w:sz w:val="32"/>
          <w:szCs w:val="32"/>
        </w:rPr>
      </w:pPr>
      <w:r>
        <w:rPr>
          <w:rFonts w:hint="eastAsia" w:ascii="仿宋_GB2312" w:eastAsia="仿宋_GB2312"/>
          <w:sz w:val="32"/>
          <w:szCs w:val="32"/>
        </w:rPr>
        <w:t>绩效评价的对象为2021年度广东省促进就业创业发展专项资金项目财政性支出。</w:t>
      </w:r>
    </w:p>
    <w:p>
      <w:pPr>
        <w:spacing w:line="560" w:lineRule="exact"/>
        <w:ind w:firstLine="640"/>
        <w:rPr>
          <w:rFonts w:ascii="仿宋_GB2312" w:eastAsia="仿宋_GB2312"/>
          <w:sz w:val="32"/>
          <w:szCs w:val="32"/>
        </w:rPr>
      </w:pPr>
      <w:r>
        <w:rPr>
          <w:rFonts w:hint="eastAsia" w:ascii="仿宋_GB2312" w:eastAsia="仿宋_GB2312"/>
          <w:sz w:val="32"/>
          <w:szCs w:val="32"/>
        </w:rPr>
        <w:t>3.绩效评价原则。</w:t>
      </w:r>
    </w:p>
    <w:p>
      <w:pPr>
        <w:spacing w:line="560" w:lineRule="exact"/>
        <w:ind w:firstLine="640"/>
        <w:rPr>
          <w:rFonts w:ascii="仿宋_GB2312" w:eastAsia="仿宋_GB2312"/>
          <w:sz w:val="32"/>
          <w:szCs w:val="32"/>
        </w:rPr>
      </w:pPr>
      <w:r>
        <w:rPr>
          <w:rFonts w:hint="eastAsia" w:ascii="仿宋_GB2312" w:eastAsia="仿宋_GB2312"/>
          <w:sz w:val="32"/>
          <w:szCs w:val="32"/>
        </w:rPr>
        <w:t>绩效评价遵循以下基本原则：</w:t>
      </w:r>
    </w:p>
    <w:p>
      <w:pPr>
        <w:spacing w:line="560" w:lineRule="exact"/>
        <w:ind w:firstLine="640"/>
        <w:rPr>
          <w:rFonts w:ascii="仿宋_GB2312" w:eastAsia="仿宋_GB2312"/>
          <w:sz w:val="32"/>
          <w:szCs w:val="32"/>
        </w:rPr>
      </w:pPr>
      <w:r>
        <w:rPr>
          <w:rFonts w:hint="eastAsia" w:ascii="仿宋_GB2312" w:eastAsia="仿宋_GB2312"/>
          <w:sz w:val="32"/>
          <w:szCs w:val="32"/>
        </w:rPr>
        <w:t>（1）科学规范，公开透明。绩效评价运用科学合理的方法，按照规范的程序，对项目绩效进行客观、公正的反映。绩效评价结果依法依规公开，自觉接受社会监督。</w:t>
      </w:r>
    </w:p>
    <w:p>
      <w:pPr>
        <w:spacing w:line="560" w:lineRule="exact"/>
        <w:ind w:firstLine="640"/>
        <w:rPr>
          <w:rFonts w:ascii="仿宋_GB2312" w:eastAsia="仿宋_GB2312"/>
          <w:sz w:val="32"/>
          <w:szCs w:val="32"/>
        </w:rPr>
      </w:pPr>
      <w:r>
        <w:rPr>
          <w:rFonts w:hint="eastAsia" w:ascii="仿宋_GB2312" w:eastAsia="仿宋_GB2312"/>
          <w:sz w:val="32"/>
          <w:szCs w:val="32"/>
        </w:rPr>
        <w:t>（2）统筹兼顾，权责对等。绩效评价应职责明确，各有侧重，相互衔接。</w:t>
      </w:r>
    </w:p>
    <w:p>
      <w:pPr>
        <w:spacing w:line="560" w:lineRule="exact"/>
        <w:ind w:firstLine="640"/>
        <w:rPr>
          <w:rFonts w:ascii="仿宋_GB2312" w:eastAsia="仿宋_GB2312"/>
          <w:sz w:val="32"/>
          <w:szCs w:val="32"/>
        </w:rPr>
      </w:pPr>
      <w:r>
        <w:rPr>
          <w:rFonts w:hint="eastAsia" w:ascii="仿宋_GB2312" w:eastAsia="仿宋_GB2312"/>
          <w:sz w:val="32"/>
          <w:szCs w:val="32"/>
        </w:rPr>
        <w:t>（3）问题导向，注重质量。绩效评价全面深入挖掘、剖析项目决策、实施和管理中存在的问题，聚焦重大政策和重点项目的实施效果，确保评价实效。</w:t>
      </w:r>
    </w:p>
    <w:p>
      <w:pPr>
        <w:spacing w:line="560" w:lineRule="exact"/>
        <w:ind w:firstLine="640"/>
        <w:rPr>
          <w:rFonts w:ascii="仿宋_GB2312" w:eastAsia="仿宋_GB2312"/>
          <w:sz w:val="32"/>
          <w:szCs w:val="32"/>
        </w:rPr>
      </w:pPr>
      <w:r>
        <w:rPr>
          <w:rFonts w:hint="eastAsia" w:ascii="仿宋_GB2312" w:eastAsia="仿宋_GB2312"/>
          <w:sz w:val="32"/>
          <w:szCs w:val="32"/>
        </w:rPr>
        <w:t>（4）强化应用，约束有力。绩效评价结果与预算安排、政策调整、改进管理实质性挂钩，体现奖优罚劣和激励相容导向，有效要安排、低效要压减、无效要问责。</w:t>
      </w:r>
    </w:p>
    <w:p>
      <w:pPr>
        <w:spacing w:line="560" w:lineRule="exact"/>
        <w:ind w:firstLine="640"/>
        <w:rPr>
          <w:rFonts w:ascii="仿宋_GB2312" w:hAnsi="Adobe 楷体 Std R" w:eastAsia="仿宋_GB2312"/>
          <w:b/>
          <w:color w:val="000000"/>
          <w:sz w:val="32"/>
          <w:szCs w:val="32"/>
        </w:rPr>
      </w:pPr>
      <w:r>
        <w:rPr>
          <w:rFonts w:hint="eastAsia" w:ascii="仿宋_GB2312" w:eastAsia="仿宋_GB2312"/>
          <w:sz w:val="32"/>
          <w:szCs w:val="32"/>
        </w:rPr>
        <w:t>4.绩效评价方法和标准。</w:t>
      </w:r>
    </w:p>
    <w:p>
      <w:pPr>
        <w:spacing w:line="560" w:lineRule="exact"/>
        <w:ind w:firstLine="640"/>
        <w:rPr>
          <w:rFonts w:ascii="仿宋_GB2312" w:eastAsia="仿宋_GB2312"/>
          <w:sz w:val="32"/>
          <w:szCs w:val="32"/>
        </w:rPr>
      </w:pPr>
      <w:r>
        <w:rPr>
          <w:rFonts w:hint="eastAsia" w:ascii="仿宋_GB2312" w:eastAsia="仿宋_GB2312"/>
          <w:sz w:val="32"/>
          <w:szCs w:val="32"/>
        </w:rPr>
        <w:t>本次绩效评价主要按照行业标准，采用成本效益分析法、比较法和公众评判法来进行。以上方法的优点：一是通过对项目的投入与产出进行关联性分析，实施情况与绩效目标作比较，综合分析绩效目标的实现程度。二是通过现场调查以及对培训对象发放问卷调查的方式，对问卷数据权重判断分析得出评价绩效目标的满意程度。</w:t>
      </w:r>
    </w:p>
    <w:p>
      <w:pPr>
        <w:snapToGrid w:val="0"/>
        <w:spacing w:line="560" w:lineRule="exact"/>
        <w:ind w:firstLine="643"/>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（二）绩效评价工作过程。</w:t>
      </w:r>
    </w:p>
    <w:p>
      <w:pPr>
        <w:spacing w:line="560" w:lineRule="exact"/>
        <w:ind w:firstLine="640"/>
        <w:rPr>
          <w:rFonts w:ascii="仿宋_GB2312" w:eastAsia="仿宋_GB2312"/>
          <w:sz w:val="32"/>
          <w:szCs w:val="32"/>
        </w:rPr>
      </w:pPr>
      <w:r>
        <w:rPr>
          <w:rFonts w:hint="eastAsia" w:ascii="仿宋_GB2312" w:eastAsia="仿宋_GB2312"/>
          <w:sz w:val="32"/>
          <w:szCs w:val="32"/>
        </w:rPr>
        <w:t>为进一步加强项目支出的监督管理，根据《深圳市市级项目支出绩效评价工作规程》（深财绩</w:t>
      </w:r>
      <w:r>
        <w:rPr>
          <w:rFonts w:hint="eastAsia" w:ascii="仿宋_GB2312" w:hAnsi="仿宋_GB2312" w:eastAsia="仿宋_GB2312" w:cs="仿宋_GB2312"/>
          <w:sz w:val="32"/>
          <w:szCs w:val="32"/>
        </w:rPr>
        <w:t>〔</w:t>
      </w:r>
      <w:r>
        <w:rPr>
          <w:rFonts w:hint="eastAsia" w:ascii="仿宋_GB2312" w:eastAsia="仿宋_GB2312"/>
          <w:sz w:val="32"/>
          <w:szCs w:val="32"/>
        </w:rPr>
        <w:t>2020</w:t>
      </w:r>
      <w:r>
        <w:rPr>
          <w:rFonts w:hint="eastAsia" w:ascii="仿宋_GB2312" w:hAnsi="仿宋_GB2312" w:eastAsia="仿宋_GB2312" w:cs="仿宋_GB2312"/>
          <w:sz w:val="32"/>
          <w:szCs w:val="32"/>
        </w:rPr>
        <w:t>〕</w:t>
      </w:r>
      <w:r>
        <w:rPr>
          <w:rFonts w:hint="eastAsia" w:ascii="仿宋_GB2312" w:eastAsia="仿宋_GB2312"/>
          <w:sz w:val="32"/>
          <w:szCs w:val="32"/>
        </w:rPr>
        <w:t>14号）的规定，学院2021年度项目支出绩效评价由财务处负责评价工作的组织实施、评价材料审核汇总和整理上报工作，教务处负责项目资金使用及其绩效自评工作。</w:t>
      </w:r>
    </w:p>
    <w:p>
      <w:pPr>
        <w:spacing w:line="560" w:lineRule="exact"/>
        <w:ind w:firstLine="640"/>
        <w:rPr>
          <w:rFonts w:ascii="仿宋_GB2312" w:eastAsia="仿宋_GB2312"/>
          <w:sz w:val="32"/>
          <w:szCs w:val="32"/>
        </w:rPr>
      </w:pPr>
      <w:r>
        <w:rPr>
          <w:rFonts w:hint="eastAsia" w:ascii="仿宋_GB2312" w:eastAsia="仿宋_GB2312"/>
          <w:sz w:val="32"/>
          <w:szCs w:val="32"/>
        </w:rPr>
        <w:t>1.前期准备阶段。</w:t>
      </w:r>
    </w:p>
    <w:p>
      <w:pPr>
        <w:spacing w:line="560" w:lineRule="exact"/>
        <w:ind w:firstLine="640"/>
        <w:rPr>
          <w:rFonts w:ascii="仿宋_GB2312" w:eastAsia="仿宋_GB2312"/>
          <w:sz w:val="32"/>
          <w:szCs w:val="32"/>
        </w:rPr>
      </w:pPr>
      <w:r>
        <w:rPr>
          <w:rFonts w:hint="eastAsia" w:ascii="仿宋_GB2312" w:eastAsia="仿宋_GB2312"/>
          <w:sz w:val="32"/>
          <w:szCs w:val="32"/>
        </w:rPr>
        <w:t>学院成立项目支出绩效评价小组（以下简称评价小组），由财务处负责。首先，根据经济社会发展需求，评价小组经评前调查、风险评估后确定绩效评价对象为2021年度广东省促进就业创业发展专项资金项目财政性支出，资金使用部门为教务处、继续教育学院；其次，评价小组下达绩效评价通知；最后，评价小组研究制订绩效评价工作方案。</w:t>
      </w:r>
    </w:p>
    <w:p>
      <w:pPr>
        <w:spacing w:line="560" w:lineRule="exact"/>
        <w:ind w:firstLine="640"/>
        <w:rPr>
          <w:rFonts w:ascii="仿宋_GB2312" w:eastAsia="仿宋_GB2312"/>
          <w:sz w:val="32"/>
          <w:szCs w:val="32"/>
        </w:rPr>
      </w:pPr>
      <w:r>
        <w:rPr>
          <w:rFonts w:hint="eastAsia" w:ascii="仿宋_GB2312" w:eastAsia="仿宋_GB2312"/>
          <w:sz w:val="32"/>
          <w:szCs w:val="32"/>
        </w:rPr>
        <w:t>2.组织实施阶段。</w:t>
      </w:r>
    </w:p>
    <w:p>
      <w:pPr>
        <w:spacing w:line="560" w:lineRule="exact"/>
        <w:ind w:firstLine="640"/>
        <w:rPr>
          <w:rFonts w:ascii="仿宋_GB2312" w:eastAsia="仿宋_GB2312"/>
          <w:sz w:val="32"/>
          <w:szCs w:val="32"/>
        </w:rPr>
      </w:pPr>
      <w:r>
        <w:rPr>
          <w:rFonts w:hint="eastAsia" w:ascii="仿宋_GB2312" w:eastAsia="仿宋_GB2312"/>
          <w:sz w:val="32"/>
          <w:szCs w:val="32"/>
        </w:rPr>
        <w:t>首先，评价小组根据评价工作方案，收集绩效评价相关数据资料，通过对被评价部门工作人员进行个人访谈，了解项目开展情况，有必要的进行延伸调查；其次，评价小组对收集的资料进行核实有关情况，分析形成初步结论；最后，评价小组形成初步的评价结论报告初稿与被评价部门交换意见。</w:t>
      </w:r>
    </w:p>
    <w:p>
      <w:pPr>
        <w:spacing w:line="560" w:lineRule="exact"/>
        <w:ind w:firstLine="640"/>
        <w:rPr>
          <w:rFonts w:ascii="仿宋_GB2312" w:eastAsia="仿宋_GB2312"/>
          <w:sz w:val="32"/>
          <w:szCs w:val="32"/>
        </w:rPr>
      </w:pPr>
      <w:r>
        <w:rPr>
          <w:rFonts w:hint="eastAsia" w:ascii="仿宋_GB2312" w:eastAsia="仿宋_GB2312"/>
          <w:sz w:val="32"/>
          <w:szCs w:val="32"/>
        </w:rPr>
        <w:t>3.完成报告阶段。</w:t>
      </w:r>
    </w:p>
    <w:p>
      <w:pPr>
        <w:spacing w:line="560" w:lineRule="exact"/>
        <w:ind w:firstLine="640"/>
        <w:rPr>
          <w:rFonts w:ascii="仿宋_GB2312" w:eastAsia="仿宋_GB2312"/>
          <w:sz w:val="32"/>
          <w:szCs w:val="32"/>
        </w:rPr>
      </w:pPr>
      <w:r>
        <w:rPr>
          <w:rFonts w:hint="eastAsia" w:ascii="仿宋_GB2312" w:eastAsia="仿宋_GB2312"/>
          <w:sz w:val="32"/>
          <w:szCs w:val="32"/>
        </w:rPr>
        <w:t>评价小组根据反馈意见，对绩效评价报告征求意见稿进行修改完善，综合分析并形成最终结论。</w:t>
      </w:r>
    </w:p>
    <w:p>
      <w:pPr>
        <w:snapToGrid w:val="0"/>
        <w:spacing w:line="560" w:lineRule="exact"/>
        <w:ind w:firstLine="640"/>
        <w:rPr>
          <w:rFonts w:ascii="黑体" w:hAnsi="黑体" w:eastAsia="黑体" w:cs="黑体"/>
          <w:sz w:val="32"/>
          <w:szCs w:val="32"/>
        </w:rPr>
      </w:pPr>
      <w:r>
        <w:rPr>
          <w:rFonts w:hint="eastAsia" w:ascii="黑体" w:hAnsi="黑体" w:eastAsia="黑体" w:cs="黑体"/>
          <w:sz w:val="32"/>
          <w:szCs w:val="32"/>
        </w:rPr>
        <w:t>三、综合评价情况及评价结论</w:t>
      </w:r>
    </w:p>
    <w:p>
      <w:pPr>
        <w:spacing w:line="560" w:lineRule="exact"/>
        <w:ind w:firstLine="640"/>
        <w:rPr>
          <w:rFonts w:ascii="仿宋_GB2312" w:eastAsia="仿宋_GB2312"/>
          <w:sz w:val="32"/>
          <w:szCs w:val="32"/>
        </w:rPr>
      </w:pPr>
      <w:r>
        <w:rPr>
          <w:rFonts w:hint="eastAsia" w:ascii="仿宋_GB2312" w:eastAsia="仿宋_GB2312"/>
          <w:sz w:val="32"/>
          <w:szCs w:val="32"/>
        </w:rPr>
        <w:t>本次评价工作按照客观、公正的原则进行，主要采用打分评价的形式开展。其中，项目资金预算执行情况10分、产出指标50分，效益指标40分。根据评价，本项目总评分为99.80分。相关评分表见附件。</w:t>
      </w:r>
    </w:p>
    <w:p>
      <w:p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2021年度，学院高度重视预算绩效管理工作，严格按照《深圳市市级项目支出绩效评价工作规程》的要求，全面落实预算绩效管理主体责任，积极开展项目支出绩效评价工作。</w:t>
      </w:r>
    </w:p>
    <w:p>
      <w:p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学院各项预算的编制符合财政部门的要求和规范，绩效目标的设定覆盖了预算编制、预算执行、政府采购、资产管理、职责履行、履职效益等方面，绩效目标明确、依据充分、设置完整且符合实际，绩效目标做到了对各项工作的全覆盖。</w:t>
      </w:r>
    </w:p>
    <w:p>
      <w:pPr>
        <w:snapToGrid w:val="0"/>
        <w:spacing w:line="560" w:lineRule="exact"/>
        <w:ind w:firstLine="640"/>
        <w:rPr>
          <w:rFonts w:ascii="黑体" w:hAnsi="黑体" w:eastAsia="黑体" w:cs="黑体"/>
          <w:sz w:val="32"/>
          <w:szCs w:val="32"/>
        </w:rPr>
      </w:pPr>
      <w:r>
        <w:rPr>
          <w:rFonts w:hint="eastAsia" w:ascii="仿宋_GB2312" w:hAnsi="仿宋_GB2312" w:eastAsia="仿宋_GB2312" w:cs="仿宋_GB2312"/>
          <w:sz w:val="32"/>
          <w:szCs w:val="32"/>
        </w:rPr>
        <w:t>2021年度，学院优化了财政支出的事前、事中和事后各个环节的管理工作，项目支出预算与实际支出匹配科学，支出结构平衡，主要工作任务完成情况良好，项目支出绩效情况较为理想，均达到了项目申请时所设定的各项绩效目标，教职工及学生对学院各项工作的满意度较高，取得了较好的经济效益和社会效益。</w:t>
      </w:r>
    </w:p>
    <w:p>
      <w:pPr>
        <w:snapToGrid w:val="0"/>
        <w:spacing w:line="560" w:lineRule="exact"/>
        <w:ind w:firstLine="640"/>
        <w:rPr>
          <w:rFonts w:ascii="黑体" w:hAnsi="黑体" w:eastAsia="黑体" w:cs="黑体"/>
          <w:sz w:val="32"/>
          <w:szCs w:val="32"/>
        </w:rPr>
      </w:pPr>
      <w:r>
        <w:rPr>
          <w:rFonts w:hint="eastAsia" w:ascii="黑体" w:hAnsi="黑体" w:eastAsia="黑体" w:cs="黑体"/>
          <w:sz w:val="32"/>
          <w:szCs w:val="32"/>
        </w:rPr>
        <w:t>四、绩效评价指标分析</w:t>
      </w:r>
    </w:p>
    <w:p>
      <w:pPr>
        <w:snapToGrid w:val="0"/>
        <w:spacing w:line="560" w:lineRule="exact"/>
        <w:ind w:firstLine="643"/>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（一）项目决策情况。</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水平技师学院专业建设项目由申请部门组织开展需求调研，形成项目计划，填报项目申报书，组织行业专家、专业教师等召开专题会议，论证项目可行性及其建设内容。教务处组织专家审核并对通过后的建设项目资料进行汇总、上报学校，经学校2021年2次校长办公会审议通过后实施。</w:t>
      </w:r>
    </w:p>
    <w:p>
      <w:p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强师工程项目根据广东省人力资源和社会保障厅的任务指标，成立项目组，结合我校的综合情况申报了9个课题，经审核最终批复了9个课题共10个培训班次的培训任务。</w:t>
      </w:r>
    </w:p>
    <w:p>
      <w:pPr>
        <w:snapToGrid w:val="0"/>
        <w:spacing w:line="560" w:lineRule="exact"/>
        <w:ind w:firstLine="643"/>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（二）项目实施过程情况。</w:t>
      </w:r>
    </w:p>
    <w:p>
      <w:pPr>
        <w:spacing w:line="560" w:lineRule="exact"/>
        <w:ind w:firstLine="640"/>
        <w:outlineLvl w:val="0"/>
        <w:rPr>
          <w:rFonts w:ascii="仿宋_GB2312" w:hAnsi="Adobe 楷体 Std R" w:eastAsia="仿宋_GB2312"/>
          <w:b/>
          <w:color w:val="000000"/>
          <w:sz w:val="32"/>
          <w:szCs w:val="32"/>
        </w:rPr>
      </w:pPr>
      <w:r>
        <w:rPr>
          <w:rFonts w:hint="eastAsia" w:ascii="仿宋_GB2312" w:hAnsi="仿宋_GB2312" w:eastAsia="仿宋_GB2312" w:cs="仿宋_GB2312"/>
          <w:sz w:val="32"/>
          <w:szCs w:val="32"/>
        </w:rPr>
        <w:t>项目实施过程中，</w:t>
      </w:r>
      <w:r>
        <w:rPr>
          <w:rFonts w:hint="eastAsia" w:ascii="仿宋_GB2312" w:eastAsia="仿宋_GB2312"/>
          <w:sz w:val="32"/>
          <w:szCs w:val="32"/>
        </w:rPr>
        <w:t>学院严格按照有关法律法规进行会计核算和财务管理，能够按照预算批复的项目计划和资金用途执行各项支出，通过信息化手段和分类核算对项目预算支出进行控制，年度预算执行较好；在财政收支管理中，较好地执行了国家有关财政法规和收支两条线管理的有关规定；学院严格项目预算管理，经费支出合法、合规、效果较好；在内部控制制度的指引下，根据部门职能和各岗位职责，拟定岗位说明，项目组织实施部门机构健全、分工明确；学院实行了分岗设权与分事行权，形成了内部牵制，起到较好的财务监控作用。</w:t>
      </w:r>
    </w:p>
    <w:p>
      <w:pPr>
        <w:snapToGrid w:val="0"/>
        <w:spacing w:line="560" w:lineRule="exact"/>
        <w:ind w:firstLine="643"/>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（三）项目产出情况。</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本项目设立了数量指标、质量指标、时效指标和成本指标等4项产出指标。</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1.数量产出指标。</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本项目设立了实施完毕的项目验收覆盖率、专业建设专项资金采购计划执行率、强师工程新增教学班个数和强师工程师资培训人次数量产出指标，截至评价时点，学院已100%完成年度指标值。</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2.质量产出指标。</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本项目设立了专业建设专项资金设备采购合格率质量产出指标，截至评价时点，学院已100%完成年度指标值。</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3.时效产出指标。</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本项目设立了专业建设重点项目建设及时性、资金在规定时间内下达率和实际资金支出率时效产出指标，截至评价时点，学院按时完成目标任务，实际资金支出率</w:t>
      </w:r>
      <w:r>
        <w:rPr>
          <w:rFonts w:ascii="仿宋_GB2312" w:hAnsi="仿宋_GB2312" w:eastAsia="仿宋_GB2312" w:cs="仿宋_GB2312"/>
          <w:sz w:val="32"/>
          <w:szCs w:val="32"/>
        </w:rPr>
        <w:t>98.86%</w:t>
      </w:r>
      <w:r>
        <w:rPr>
          <w:rFonts w:hint="eastAsia" w:ascii="仿宋_GB2312" w:hAnsi="仿宋_GB2312" w:eastAsia="仿宋_GB2312" w:cs="仿宋_GB2312"/>
          <w:sz w:val="32"/>
          <w:szCs w:val="32"/>
        </w:rPr>
        <w:t>。</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4.成本产出指标。</w:t>
      </w:r>
    </w:p>
    <w:p>
      <w:pPr>
        <w:snapToGrid w:val="0"/>
        <w:spacing w:line="560" w:lineRule="exact"/>
        <w:ind w:firstLine="640"/>
        <w:rPr>
          <w:rFonts w:ascii="仿宋_GB2312" w:hAnsi="Adobe 楷体 Std R" w:eastAsia="仿宋_GB2312"/>
          <w:b/>
          <w:color w:val="000000"/>
          <w:sz w:val="32"/>
          <w:szCs w:val="32"/>
        </w:rPr>
      </w:pPr>
      <w:r>
        <w:rPr>
          <w:rFonts w:hint="eastAsia" w:ascii="仿宋_GB2312" w:hAnsi="仿宋_GB2312" w:eastAsia="仿宋_GB2312" w:cs="仿宋_GB2312"/>
          <w:sz w:val="32"/>
          <w:szCs w:val="32"/>
        </w:rPr>
        <w:t>本项目设立了项目预算金额成本产出指标，截至评价时点，学院能有效控制成本支出。</w:t>
      </w:r>
    </w:p>
    <w:p>
      <w:pPr>
        <w:snapToGrid w:val="0"/>
        <w:spacing w:line="560" w:lineRule="exact"/>
        <w:ind w:firstLine="643"/>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（四）项目效益情况。</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从项目效益角度分析，本项目设立了社会效益和满意度2项效益指标。</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1.社会效益指标。</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本项目设立了师资培训合格率和师资队伍建设能力提升社会效益指标，学院高质量完成年度指标任务，重点专业师资水平得到提升，专业带头人、骨干教师专业水平、教学能力明显增强。</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2.满意度指标。</w:t>
      </w:r>
    </w:p>
    <w:p>
      <w:pPr>
        <w:snapToGrid w:val="0"/>
        <w:spacing w:line="560" w:lineRule="exact"/>
        <w:ind w:firstLine="640"/>
        <w:rPr>
          <w:rFonts w:ascii="黑体" w:hAnsi="黑体" w:eastAsia="黑体" w:cs="黑体"/>
          <w:sz w:val="32"/>
          <w:szCs w:val="32"/>
        </w:rPr>
      </w:pPr>
      <w:r>
        <w:rPr>
          <w:rFonts w:hint="eastAsia" w:ascii="仿宋_GB2312" w:hAnsi="仿宋_GB2312" w:eastAsia="仿宋_GB2312" w:cs="仿宋_GB2312"/>
          <w:sz w:val="32"/>
          <w:szCs w:val="32"/>
        </w:rPr>
        <w:t>本项目设立了教师对专项资金使用满意度满意度指标，服务对象为本校参与高水平技师学院建设项目教师，经调查问卷数据统计，服务对象满意度为100%。</w:t>
      </w:r>
    </w:p>
    <w:p>
      <w:pPr>
        <w:snapToGrid w:val="0"/>
        <w:spacing w:line="560" w:lineRule="exact"/>
        <w:ind w:firstLine="640"/>
        <w:rPr>
          <w:rFonts w:ascii="黑体" w:hAnsi="黑体" w:eastAsia="黑体" w:cs="黑体"/>
          <w:sz w:val="32"/>
          <w:szCs w:val="32"/>
        </w:rPr>
      </w:pPr>
      <w:r>
        <w:rPr>
          <w:rFonts w:hint="eastAsia" w:ascii="黑体" w:hAnsi="黑体" w:eastAsia="黑体" w:cs="黑体"/>
          <w:sz w:val="32"/>
          <w:szCs w:val="32"/>
        </w:rPr>
        <w:t>五、主要经验及做法</w:t>
      </w:r>
    </w:p>
    <w:p>
      <w:pPr>
        <w:snapToGrid w:val="0"/>
        <w:spacing w:line="560" w:lineRule="exact"/>
        <w:ind w:firstLine="643"/>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（一）建立健全项目管理制度。</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本项目建立了健全的管理制度，由专人负责项目，并严格按照有关管理制度开展工作。财务管理制度健全，财务凭证齐全，会计账务处理规范；本项目在执行过程中，制定相应的监控机制，由负责科室定期汇报。健全规范的项目管理制度和有效财务监管制度，为项目的顺利实施奠定坚实的基础。</w:t>
      </w:r>
    </w:p>
    <w:p>
      <w:pPr>
        <w:snapToGrid w:val="0"/>
        <w:spacing w:line="560" w:lineRule="exact"/>
        <w:ind w:firstLine="643"/>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（二）组织开展项目管理培训。</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学院定期或不定期邀请专家开展项目实施管理监控有关培训，提高学院各部门人员项目管理意识和能力，营造健康平稳的可持续发展氛围。</w:t>
      </w:r>
    </w:p>
    <w:p>
      <w:pPr>
        <w:snapToGrid w:val="0"/>
        <w:spacing w:line="560" w:lineRule="exact"/>
        <w:ind w:firstLine="643"/>
        <w:rPr>
          <w:rFonts w:ascii="楷体_GB2312" w:hAnsi="楷体_GB2312" w:eastAsia="楷体_GB2312" w:cs="楷体_GB2312"/>
          <w:b/>
          <w:color w:val="000000"/>
          <w:sz w:val="32"/>
          <w:szCs w:val="32"/>
        </w:rPr>
      </w:pPr>
      <w:r>
        <w:rPr>
          <w:rFonts w:hint="eastAsia" w:ascii="楷体_GB2312" w:hAnsi="楷体_GB2312" w:eastAsia="楷体_GB2312" w:cs="楷体_GB2312"/>
          <w:b/>
          <w:color w:val="000000"/>
          <w:sz w:val="32"/>
          <w:szCs w:val="32"/>
        </w:rPr>
        <w:t>（三）加强项目实施过程管理。</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一是项目负责科室精心组织、策划及相互支持、密切配合，是保证项目顺利开展的必要条件，结合项目的特点，科学编制管理办法和实施方案。</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二是项目负责人积极推进工作进度，形成了责任到人、逐级审批、层层分管、环环相扣的各部门联动管理机制，全力推进项目实施。</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三是严格按照规定执行资金的使用，做到资金使用安全、规范，对项目经费实行专项管理，保证经费及时到位和合理使用。</w:t>
      </w:r>
    </w:p>
    <w:p>
      <w:pPr>
        <w:snapToGrid w:val="0"/>
        <w:spacing w:line="560" w:lineRule="exact"/>
        <w:ind w:firstLine="640"/>
        <w:rPr>
          <w:rFonts w:ascii="黑体" w:hAnsi="黑体" w:eastAsia="黑体" w:cs="黑体"/>
          <w:sz w:val="32"/>
          <w:szCs w:val="32"/>
        </w:rPr>
      </w:pPr>
      <w:r>
        <w:rPr>
          <w:rFonts w:hint="eastAsia" w:ascii="黑体" w:hAnsi="黑体" w:eastAsia="黑体" w:cs="黑体"/>
          <w:sz w:val="32"/>
          <w:szCs w:val="32"/>
        </w:rPr>
        <w:t>六、存在的问题</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资金使用进度还不够预期。主要受到新冠疫情影响，在招标采购、设备交付、使用培训、项目验收等环节上受到一定程度的影响，导致资金支付进度没有能实现预期，如师资培训项目由于疫情原因由计划的7月份推迟到10月份。</w:t>
      </w:r>
    </w:p>
    <w:p>
      <w:pPr>
        <w:snapToGrid w:val="0"/>
        <w:spacing w:line="560" w:lineRule="exact"/>
        <w:ind w:firstLine="640"/>
        <w:rPr>
          <w:rFonts w:ascii="仿宋_GB2312" w:eastAsia="仿宋_GB2312"/>
          <w:sz w:val="32"/>
          <w:szCs w:val="32"/>
        </w:rPr>
      </w:pPr>
      <w:r>
        <w:rPr>
          <w:rFonts w:hint="eastAsia" w:ascii="黑体" w:hAnsi="黑体" w:eastAsia="黑体" w:cs="黑体"/>
          <w:sz w:val="32"/>
          <w:szCs w:val="32"/>
        </w:rPr>
        <w:t>七、有关建议</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加强项目绩效管理，提高预算绩效认识。各部门应加强沟通协调，密切配合，及时在事前制定明确、细化、量化且可考核的年度绩效目标，并依据年度目标组织开展项目绩效评价工作，做到绩效目标可考量，从而提高预算绩效管理效果。 </w:t>
      </w:r>
    </w:p>
    <w:p>
      <w:pPr>
        <w:snapToGrid w:val="0"/>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2.继续加强信息化建设，继续创新预算绩效管理方式和方法，提高预算绩效信息化管理水平。</w:t>
      </w:r>
    </w:p>
    <w:p>
      <w:pPr>
        <w:spacing w:line="560" w:lineRule="exact"/>
        <w:ind w:firstLine="640"/>
        <w:rPr>
          <w:rFonts w:ascii="仿宋_GB2312" w:eastAsia="仿宋_GB2312"/>
          <w:sz w:val="32"/>
          <w:szCs w:val="32"/>
        </w:rPr>
      </w:pPr>
      <w:r>
        <w:rPr>
          <w:rFonts w:hint="eastAsia" w:ascii="仿宋_GB2312" w:eastAsia="仿宋_GB2312"/>
          <w:sz w:val="32"/>
          <w:szCs w:val="32"/>
        </w:rPr>
        <w:t>附件：广东省促进就业创业发展专项资金项目支出绩效评价评分表</w:t>
      </w:r>
    </w:p>
    <w:p>
      <w:pPr>
        <w:rPr>
          <w:rFonts w:ascii="仿宋_GB2312" w:eastAsia="仿宋_GB2312"/>
          <w:sz w:val="32"/>
          <w:szCs w:val="32"/>
        </w:rPr>
      </w:pPr>
      <w:r>
        <w:br w:type="page"/>
      </w:r>
    </w:p>
    <w:p>
      <w:pPr>
        <w:spacing w:line="560" w:lineRule="exact"/>
        <w:rPr>
          <w:rFonts w:ascii="仿宋_GB2312" w:eastAsia="仿宋_GB2312"/>
          <w:sz w:val="32"/>
          <w:szCs w:val="32"/>
        </w:rPr>
      </w:pPr>
      <w:r>
        <w:rPr>
          <w:rFonts w:hint="eastAsia" w:ascii="仿宋_GB2312" w:eastAsia="仿宋_GB2312"/>
          <w:sz w:val="32"/>
          <w:szCs w:val="32"/>
        </w:rPr>
        <w:t>附件：</w:t>
      </w:r>
    </w:p>
    <w:p>
      <w:pPr>
        <w:spacing w:line="560" w:lineRule="exact"/>
        <w:ind w:firstLine="640"/>
        <w:rPr>
          <w:rFonts w:ascii="仿宋_GB2312" w:eastAsia="仿宋_GB2312"/>
          <w:sz w:val="32"/>
          <w:szCs w:val="32"/>
        </w:rPr>
      </w:pPr>
    </w:p>
    <w:p>
      <w:pPr>
        <w:spacing w:line="560" w:lineRule="exact"/>
        <w:jc w:val="center"/>
        <w:rPr>
          <w:rFonts w:hint="eastAsia" w:ascii="仿宋_GB2312" w:eastAsia="仿宋_GB2312"/>
          <w:sz w:val="32"/>
          <w:szCs w:val="32"/>
        </w:rPr>
      </w:pPr>
      <w:r>
        <w:rPr>
          <w:rFonts w:hint="eastAsia" w:ascii="仿宋_GB2312" w:eastAsia="仿宋_GB2312"/>
          <w:sz w:val="32"/>
          <w:szCs w:val="32"/>
        </w:rPr>
        <w:t>广东省促进就业创业发展专项资金</w:t>
      </w:r>
    </w:p>
    <w:p>
      <w:pPr>
        <w:spacing w:line="560" w:lineRule="exact"/>
        <w:jc w:val="center"/>
        <w:rPr>
          <w:rFonts w:ascii="仿宋_GB2312" w:eastAsia="仿宋_GB2312"/>
          <w:sz w:val="32"/>
          <w:szCs w:val="32"/>
        </w:rPr>
      </w:pPr>
      <w:r>
        <w:rPr>
          <w:rFonts w:hint="eastAsia" w:ascii="仿宋_GB2312" w:eastAsia="仿宋_GB2312"/>
          <w:sz w:val="32"/>
          <w:szCs w:val="32"/>
        </w:rPr>
        <w:t>项目支出绩效评价评分表</w:t>
      </w:r>
    </w:p>
    <w:p/>
    <w:p>
      <w:pPr>
        <w:pStyle w:val="2"/>
        <w:jc w:val="center"/>
        <w:rPr>
          <w:rFonts w:hint="default"/>
        </w:rPr>
      </w:pPr>
      <w:r>
        <w:rPr>
          <w:sz w:val="20"/>
        </w:rPr>
        <w:drawing>
          <wp:inline distT="0" distB="0" distL="0" distR="0">
            <wp:extent cx="5333365" cy="5156200"/>
            <wp:effectExtent l="19050" t="0" r="635" b="0"/>
            <wp:docPr id="26" name="图片 1" descr="C:\Users\OP-T-PC-0024\Documents\WeChat Files\wxid_2htq20cxsgbf22\FileStorage\Temp\16553009672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descr="C:\Users\OP-T-PC-0024\Documents\WeChat Files\wxid_2htq20cxsgbf22\FileStorage\Temp\1655300967279.png"/>
                    <pic:cNvPicPr>
                      <a:picLocks noChangeAspect="1" noChangeArrowheads="1"/>
                    </pic:cNvPicPr>
                  </pic:nvPicPr>
                  <pic:blipFill>
                    <a:blip r:embed="rId5" cstate="print"/>
                    <a:srcRect/>
                    <a:stretch>
                      <a:fillRect/>
                    </a:stretch>
                  </pic:blipFill>
                  <pic:spPr>
                    <a:xfrm>
                      <a:off x="0" y="0"/>
                      <a:ext cx="5334000" cy="5156835"/>
                    </a:xfrm>
                    <a:prstGeom prst="rect">
                      <a:avLst/>
                    </a:prstGeom>
                    <a:noFill/>
                    <a:ln w="9525" cap="flat">
                      <a:noFill/>
                    </a:ln>
                  </pic:spPr>
                </pic:pic>
              </a:graphicData>
            </a:graphic>
          </wp:inline>
        </w:drawing>
      </w:r>
    </w:p>
    <w:sectPr>
      <w:pgSz w:w="11906" w:h="16838"/>
      <w:pgMar w:top="1440" w:right="1800" w:bottom="1440" w:left="1800" w:header="851" w:footer="992" w:gutter="0"/>
      <w:pgNumType w:fmt="decimal"/>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34"/>
    <w:family w:val="modern"/>
    <w:pitch w:val="default"/>
    <w:sig w:usb0="800002BF" w:usb1="38CF7CFA" w:usb2="00000016" w:usb3="00000000" w:csb0="00040001" w:csb1="00000000"/>
  </w:font>
  <w:font w:name="仿宋_GB2312">
    <w:altName w:val="仿宋"/>
    <w:panose1 w:val="00000000000000000000"/>
    <w:charset w:val="30"/>
    <w:family w:val="modern"/>
    <w:pitch w:val="default"/>
    <w:sig w:usb0="00000000" w:usb1="00000000" w:usb2="00000000" w:usb3="00000000" w:csb0="00040000" w:csb1="00000000"/>
  </w:font>
  <w:font w:name="黑体">
    <w:panose1 w:val="02010609060101010101"/>
    <w:charset w:val="34"/>
    <w:family w:val="modern"/>
    <w:pitch w:val="default"/>
    <w:sig w:usb0="800002BF" w:usb1="38CF7CFA" w:usb2="00000016" w:usb3="00000000" w:csb0="00040001" w:csb1="00000000"/>
  </w:font>
  <w:font w:name="楷体_GB2312">
    <w:altName w:val="楷体"/>
    <w:panose1 w:val="00000000000000000000"/>
    <w:charset w:val="30"/>
    <w:family w:val="modern"/>
    <w:pitch w:val="default"/>
    <w:sig w:usb0="00000000" w:usb1="00000000" w:usb2="00000000" w:usb3="00000000" w:csb0="00040000" w:csb1="00000000"/>
  </w:font>
  <w:font w:name="Adobe 楷体 Std R">
    <w:altName w:val="宋体"/>
    <w:panose1 w:val="00000000000000000000"/>
    <w:charset w:val="34"/>
    <w:family w:val="roman"/>
    <w:pitch w:val="default"/>
    <w:sig w:usb0="00000000" w:usb1="00000000" w:usb2="00000010" w:usb3="00000000" w:csb0="00060007"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30"/>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30"/>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243"/>
      </w:tabs>
      <w:ind w:right="360" w:firstLine="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documentProtection w:enforcement="0"/>
  <w:defaultTabStop w:val="420"/>
  <w:displayHorizontalDrawingGridEvery w:val="0"/>
  <w:displayVerticalDrawingGridEvery w:val="2"/>
  <w:characterSpacingControl w:val="compressPunctuation"/>
  <w:compat>
    <w:balanceSingleByteDoubleByteWidth/>
    <w:ulTrailSpace/>
    <w:adjustLineHeightInTable/>
    <w:useFELayout/>
    <w:compatSetting w:name="compatibilityMode" w:uri="http://schemas.microsoft.com/office/word" w:val="15"/>
  </w:compat>
  <w:rsids>
    <w:rsidRoot w:val="00000000"/>
    <w:rsid w:val="62C85C63"/>
  </w:rsids>
  <m:mathPr>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152" w:semiHidden="0" w:name="header"/>
    <w:lsdException w:qFormat="1" w:uiPriority="151"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2"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153"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3"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155"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Times New Roman" w:hAnsi="Times New Roman" w:eastAsia="宋体" w:cs="Times New Roman"/>
      <w:sz w:val="21"/>
      <w:szCs w:val="21"/>
      <w:lang w:val="en-US" w:eastAsia="zh-CN" w:bidi="ar-SA"/>
    </w:rPr>
  </w:style>
  <w:style w:type="paragraph" w:styleId="2">
    <w:name w:val="heading 1"/>
    <w:basedOn w:val="1"/>
    <w:next w:val="1"/>
    <w:qFormat/>
    <w:uiPriority w:val="7"/>
    <w:pPr>
      <w:spacing w:before="100" w:beforeAutospacing="1" w:after="100" w:afterAutospacing="1"/>
      <w:jc w:val="left"/>
      <w:outlineLvl w:val="0"/>
    </w:pPr>
    <w:rPr>
      <w:rFonts w:hint="eastAsia" w:ascii="宋体" w:hAnsi="宋体"/>
      <w:b/>
      <w:sz w:val="48"/>
      <w:szCs w:val="48"/>
    </w:rPr>
  </w:style>
  <w:style w:type="character" w:default="1" w:styleId="7">
    <w:name w:val="Default Paragraph Font"/>
    <w:semiHidden/>
    <w:unhideWhenUsed/>
    <w:uiPriority w:val="2"/>
  </w:style>
  <w:style w:type="table" w:default="1" w:styleId="8">
    <w:name w:val="Normal Table"/>
    <w:semiHidden/>
    <w:unhideWhenUsed/>
    <w:qFormat/>
    <w:uiPriority w:val="3"/>
    <w:tblPr>
      <w:tblLayout w:type="fixed"/>
      <w:tblCellMar>
        <w:top w:w="0" w:type="dxa"/>
        <w:left w:w="108" w:type="dxa"/>
        <w:bottom w:w="0" w:type="dxa"/>
        <w:right w:w="108" w:type="dxa"/>
      </w:tblCellMar>
    </w:tblPr>
  </w:style>
  <w:style w:type="paragraph" w:styleId="3">
    <w:name w:val="Balloon Text"/>
    <w:basedOn w:val="1"/>
    <w:link w:val="10"/>
    <w:uiPriority w:val="155"/>
    <w:rPr>
      <w:sz w:val="18"/>
      <w:szCs w:val="18"/>
    </w:rPr>
  </w:style>
  <w:style w:type="paragraph" w:styleId="4">
    <w:name w:val="footer"/>
    <w:basedOn w:val="1"/>
    <w:unhideWhenUsed/>
    <w:qFormat/>
    <w:uiPriority w:val="151"/>
    <w:pPr>
      <w:tabs>
        <w:tab w:val="center" w:pos="4153"/>
        <w:tab w:val="right" w:pos="8306"/>
      </w:tabs>
      <w:snapToGrid w:val="0"/>
      <w:jc w:val="left"/>
    </w:pPr>
    <w:rPr>
      <w:sz w:val="18"/>
      <w:szCs w:val="18"/>
    </w:rPr>
  </w:style>
  <w:style w:type="paragraph" w:styleId="5">
    <w:name w:val="header"/>
    <w:basedOn w:val="1"/>
    <w:link w:val="9"/>
    <w:uiPriority w:val="152"/>
    <w:pPr>
      <w:pBdr>
        <w:bottom w:val="single" w:color="000000" w:sz="6" w:space="1"/>
      </w:pBdr>
      <w:tabs>
        <w:tab w:val="center" w:pos="4153"/>
        <w:tab w:val="right" w:pos="8306"/>
      </w:tabs>
      <w:snapToGrid w:val="0"/>
      <w:jc w:val="center"/>
    </w:pPr>
    <w:rPr>
      <w:sz w:val="18"/>
      <w:szCs w:val="18"/>
    </w:rPr>
  </w:style>
  <w:style w:type="paragraph" w:styleId="6">
    <w:name w:val="Normal (Web)"/>
    <w:basedOn w:val="1"/>
    <w:unhideWhenUsed/>
    <w:qFormat/>
    <w:uiPriority w:val="153"/>
    <w:pPr>
      <w:spacing w:before="100" w:beforeAutospacing="1" w:after="100" w:afterAutospacing="1"/>
      <w:jc w:val="left"/>
    </w:pPr>
    <w:rPr>
      <w:rFonts w:ascii="宋体" w:hAnsi="宋体" w:cs="宋体"/>
      <w:sz w:val="24"/>
      <w:szCs w:val="24"/>
    </w:rPr>
  </w:style>
  <w:style w:type="character" w:customStyle="1" w:styleId="9">
    <w:name w:val="页眉 Char"/>
    <w:basedOn w:val="7"/>
    <w:link w:val="5"/>
    <w:uiPriority w:val="154"/>
    <w:rPr>
      <w:sz w:val="18"/>
      <w:szCs w:val="18"/>
    </w:rPr>
  </w:style>
  <w:style w:type="character" w:customStyle="1" w:styleId="10">
    <w:name w:val="批注框文本 Char"/>
    <w:basedOn w:val="7"/>
    <w:link w:val="3"/>
    <w:uiPriority w:val="156"/>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中华人民共和国国务院</Company>
  <Pages>12</Pages>
  <Words>727</Words>
  <Characters>4863</Characters>
  <Lines>34</Lines>
  <Paragraphs>9</Paragraphs>
  <TotalTime>0</TotalTime>
  <ScaleCrop>false</ScaleCrop>
  <LinksUpToDate>false</LinksUpToDate>
  <CharactersWithSpaces>0</CharactersWithSpaces>
  <Application>WPS Office_10.8.2.7090_F1E327BC-269C-435d-A152-05C5408002CA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2022-06-27T07:53:52Z</dcterms:created>
  <dc:creator>陈卓仪</dc:creator>
  <cp:lastModifiedBy>许翔翔</cp:lastModifiedBy>
  <dcterms:modified xsi:type="dcterms:W3CDTF">2022-06-27T07:54:10Z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ies>
</file>